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ptos Display" w:hAnsi="Aptos Display"/>
          <w:b/>
          <w:color w:val="1F4E79"/>
          <w:sz w:val="48"/>
        </w:rPr>
        <w:t>GCL Surface and Conceptual Binding Approach</w:t>
      </w:r>
    </w:p>
    <w:p>
      <w:pPr>
        <w:jc w:val="center"/>
      </w:pPr>
      <w:r>
        <w:rPr>
          <w:i/>
          <w:sz w:val="22"/>
        </w:rPr>
        <w:t>A workbench document for mapping genetic, synthetic, symbolic, algorithmic, and failure-coding regimes onto one receipted surface</w:t>
      </w:r>
    </w:p>
    <w:p>
      <w:pPr>
        <w:jc w:val="center"/>
      </w:pPr>
      <w:r>
        <w:rPr>
          <w:b/>
          <w:sz w:val="20"/>
        </w:rPr>
        <w:t>Status: HOLD / workbench synthesis, not formal proof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rPr>
          <w:tblHeader w:val="true"/>
        </w:trPr>
        <w:tc>
          <w:tcPr>
            <w:tcW w:type="dxa" w:w="10166"/>
            <w:shd w:fill="D9EAD3"/>
            <w:vAlign w:val="top"/>
          </w:tcPr>
          <w:p>
            <w:pPr>
              <w:spacing w:after="0"/>
            </w:pPr>
            <w:r>
              <w:rPr>
                <w:rFonts w:ascii="Aptos" w:hAnsi="Aptos"/>
                <w:b/>
                <w:sz w:val="16"/>
              </w:rPr>
              <w:t>Operating sentence</w:t>
            </w:r>
          </w:p>
          <w:p>
            <w:pPr>
              <w:spacing w:after="0"/>
            </w:pPr>
            <w:r>
              <w:rPr>
                <w:rFonts w:ascii="Aptos" w:hAnsi="Aptos"/>
                <w:sz w:val="16"/>
              </w:rPr>
              <w:t>GCL is the Genetic Coding Language that lets strange research objects mutate, recombine, express themselves, and project to surfaces without skipping typing, gates, receipts, repair, or closure.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rPr>
          <w:tblHeader w:val="true"/>
        </w:trPr>
        <w:tc>
          <w:tcPr>
            <w:tcW w:type="dxa" w:w="10166"/>
            <w:shd w:fill="FCE4D6"/>
            <w:vAlign w:val="top"/>
          </w:tcPr>
          <w:p>
            <w:pPr>
              <w:spacing w:after="0"/>
            </w:pPr>
            <w:r>
              <w:rPr>
                <w:rFonts w:ascii="Aptos" w:hAnsi="Aptos"/>
                <w:b/>
                <w:sz w:val="16"/>
              </w:rPr>
              <w:t>Primary boundary</w:t>
            </w:r>
          </w:p>
          <w:p>
            <w:pPr>
              <w:spacing w:after="0"/>
            </w:pPr>
            <w:r>
              <w:rPr>
                <w:rFonts w:ascii="Aptos" w:hAnsi="Aptos"/>
                <w:sz w:val="16"/>
              </w:rPr>
              <w:t>GCL unifies coding surfaces, not truth claims. Projection is not proof; phenotype is not genotype; visual centrality is not truth.</w:t>
            </w:r>
          </w:p>
        </w:tc>
      </w:tr>
    </w:tbl>
    <w:p/>
    <w:p>
      <w:pPr>
        <w:pStyle w:val="Heading1"/>
      </w:pPr>
      <w:r>
        <w:t>1. Purpose</w:t>
      </w:r>
    </w:p>
    <w:p>
      <w:r>
        <w:t>This document exports the current approach to conceptual bindings in the Research Stack. It explains how GCL acts as a combined surface for multiple coding regimes: biological genetic coding, synthetic genetic coding, stack-native concept coding, Mass Number process coding, Sidon collision-law coding, algorithmic source coding, formal Lean targets, and Underverse failure coding.</w:t>
      </w:r>
    </w:p>
    <w:p>
      <w:r>
        <w:t>The goal is not to collapse every code into the same ontology. The goal is to give each coding regime a shared comparison surface while preserving its authority boundary, validation route, and failure mode.</w:t>
      </w:r>
    </w:p>
    <w:p>
      <w:pPr>
        <w:pStyle w:val="CodeBlock"/>
      </w:pPr>
      <w:r>
        <w:t>coding variant</w:t>
        <w:br/>
        <w:t xml:space="preserve">  -&gt; GCL genotype slots</w:t>
        <w:br/>
        <w:t xml:space="preserve">  -&gt; expressed phenotype</w:t>
        <w:br/>
        <w:t xml:space="preserve">  -&gt; admissibility / closure gates</w:t>
        <w:br/>
        <w:t xml:space="preserve">  -&gt; projection surface</w:t>
        <w:br/>
        <w:t xml:space="preserve">  -&gt; receipt target</w:t>
      </w:r>
    </w:p>
    <w:p>
      <w:pPr>
        <w:pStyle w:val="Heading1"/>
      </w:pPr>
      <w:r>
        <w:t>2. Core thesis</w:t>
      </w:r>
    </w:p>
    <w:p>
      <w:r>
        <w:t>A conceptual binding is a controlled encoding of an idea into a typed unit that can be expressed, mutated, recombined, projected, gated, repaired, and receipted. GCL provides the host grammar for those bindings.</w:t>
      </w:r>
    </w:p>
    <w:p>
      <w:pPr>
        <w:pStyle w:val="CodeBlock"/>
      </w:pPr>
      <w:r>
        <w:t>intuition</w:t>
        <w:br/>
        <w:t xml:space="preserve">  -&gt; encoded concept genome</w:t>
        <w:br/>
        <w:t xml:space="preserve">  -&gt; expansion slots</w:t>
        <w:br/>
        <w:t xml:space="preserve">  -&gt; admissibility gates</w:t>
        <w:br/>
        <w:t xml:space="preserve">  -&gt; receipts</w:t>
        <w:br/>
        <w:t xml:space="preserve">  -&gt; projections</w:t>
        <w:br/>
        <w:t xml:space="preserve">  -&gt; formalization targets</w:t>
      </w:r>
    </w:p>
    <w:p>
      <w:r>
        <w:rPr>
          <w:b/>
        </w:rPr>
        <w:t xml:space="preserve">In compression terms: </w:t>
      </w:r>
      <w:r>
        <w:t>GCL exists to preserve invariant structure, bound residual distortion, control compression pressure, choose a scale, and record what fails.</w:t>
      </w:r>
    </w:p>
    <w:p>
      <w:pPr>
        <w:pStyle w:val="Heading1"/>
      </w:pPr>
      <w:r>
        <w:t>3. Key terms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83"/>
        <w:gridCol w:w="5083"/>
      </w:tblGrid>
      <w:tr>
        <w:trPr>
          <w:tblHeader w:val="true"/>
        </w:trPr>
        <w:tc>
          <w:tcPr>
            <w:tcW w:type="dxa" w:w="5083"/>
            <w:shd w:fill="D9EAF7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/>
                <w:sz w:val="16"/>
              </w:rPr>
              <w:t>Term</w:t>
            </w:r>
          </w:p>
        </w:tc>
        <w:tc>
          <w:tcPr>
            <w:tcW w:type="dxa" w:w="5083"/>
            <w:shd w:fill="D9EAF7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/>
                <w:sz w:val="16"/>
              </w:rPr>
              <w:t>Working definition</w:t>
            </w:r>
          </w:p>
        </w:tc>
      </w:tr>
      <w:tr>
        <w:tc>
          <w:tcPr>
            <w:tcW w:type="dxa" w:w="508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/>
                <w:sz w:val="16"/>
              </w:rPr>
              <w:t>GCL</w:t>
            </w:r>
          </w:p>
        </w:tc>
        <w:tc>
          <w:tcPr>
            <w:tcW w:type="dxa" w:w="508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Genetic Coding Language: the host grammar for typed, mutable, receipt-gated research objects.</w:t>
            </w:r>
          </w:p>
        </w:tc>
      </w:tr>
      <w:tr>
        <w:tc>
          <w:tcPr>
            <w:tcW w:type="dxa" w:w="508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/>
                <w:sz w:val="16"/>
              </w:rPr>
              <w:t>Conceptual binding</w:t>
            </w:r>
          </w:p>
        </w:tc>
        <w:tc>
          <w:tcPr>
            <w:tcW w:type="dxa" w:w="508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A commitment that maps an intuition or object into a typed GCL unit with expression, gates, projection, and receipts.</w:t>
            </w:r>
          </w:p>
        </w:tc>
      </w:tr>
      <w:tr>
        <w:tc>
          <w:tcPr>
            <w:tcW w:type="dxa" w:w="508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/>
                <w:sz w:val="16"/>
              </w:rPr>
              <w:t>Genotype</w:t>
            </w:r>
          </w:p>
        </w:tc>
        <w:tc>
          <w:tcPr>
            <w:tcW w:type="dxa" w:w="508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The internal encoded structure: codons, expansion slots, constraints, allowed mutations, and repair paths.</w:t>
            </w:r>
          </w:p>
        </w:tc>
      </w:tr>
      <w:tr>
        <w:tc>
          <w:tcPr>
            <w:tcW w:type="dxa" w:w="508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/>
                <w:sz w:val="16"/>
              </w:rPr>
              <w:t>Phenotype</w:t>
            </w:r>
          </w:p>
        </w:tc>
        <w:tc>
          <w:tcPr>
            <w:tcW w:type="dxa" w:w="508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The outward expression: wiki page, graph node, diagram, simulator behavior, theorem target, or surface render.</w:t>
            </w:r>
          </w:p>
        </w:tc>
      </w:tr>
      <w:tr>
        <w:tc>
          <w:tcPr>
            <w:tcW w:type="dxa" w:w="508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/>
                <w:sz w:val="16"/>
              </w:rPr>
              <w:t>Mass Number</w:t>
            </w:r>
          </w:p>
        </w:tc>
        <w:tc>
          <w:tcPr>
            <w:tcW w:type="dxa" w:w="508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A holder packet for a modeling process. It can compress representation shift, invariant focus, obstruction, proof engine, and residue. It is not proof by itself.</w:t>
            </w:r>
          </w:p>
        </w:tc>
      </w:tr>
      <w:tr>
        <w:tc>
          <w:tcPr>
            <w:tcW w:type="dxa" w:w="508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/>
                <w:sz w:val="16"/>
              </w:rPr>
              <w:t>Delta-Phi-Gamma-Lambda</w:t>
            </w:r>
          </w:p>
        </w:tc>
        <w:tc>
          <w:tcPr>
            <w:tcW w:type="dxa" w:w="508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A compression diagnostic: residual change in lawful structure under compression pressure at a chosen scale.</w:t>
            </w:r>
          </w:p>
        </w:tc>
      </w:tr>
      <w:tr>
        <w:tc>
          <w:tcPr>
            <w:tcW w:type="dxa" w:w="508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/>
                <w:sz w:val="16"/>
              </w:rPr>
              <w:t>Goxel</w:t>
            </w:r>
          </w:p>
        </w:tc>
        <w:tc>
          <w:tcPr>
            <w:tcW w:type="dxa" w:w="508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A shape-agnostic, pre-compressed geometry primitive that can collapse into a surface or voxel-like representation.</w:t>
            </w:r>
          </w:p>
        </w:tc>
      </w:tr>
      <w:tr>
        <w:tc>
          <w:tcPr>
            <w:tcW w:type="dxa" w:w="508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/>
                <w:sz w:val="16"/>
              </w:rPr>
              <w:t>Sidon law</w:t>
            </w:r>
          </w:p>
        </w:tc>
        <w:tc>
          <w:tcPr>
            <w:tcW w:type="dxa" w:w="508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A collision-law pattern: no incompatible histories may collapse into the same committed address.</w:t>
            </w:r>
          </w:p>
        </w:tc>
      </w:tr>
      <w:tr>
        <w:tc>
          <w:tcPr>
            <w:tcW w:type="dxa" w:w="508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/>
                <w:sz w:val="16"/>
              </w:rPr>
              <w:t>Underverse</w:t>
            </w:r>
          </w:p>
        </w:tc>
        <w:tc>
          <w:tcPr>
            <w:tcW w:type="dxa" w:w="508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Bounded residue for invalid aliases, failed reverse collapse, unsafe overclaims, or unclosed infinities.</w:t>
            </w:r>
          </w:p>
        </w:tc>
      </w:tr>
      <w:tr>
        <w:tc>
          <w:tcPr>
            <w:tcW w:type="dxa" w:w="508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/>
                <w:sz w:val="16"/>
              </w:rPr>
              <w:t>Warden</w:t>
            </w:r>
          </w:p>
        </w:tc>
        <w:tc>
          <w:tcPr>
            <w:tcW w:type="dxa" w:w="508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The gate that blocks promotion when evidence, reverse collapse, alias safety, bounded recursion, or invariant preservation is missing.</w:t>
            </w:r>
          </w:p>
        </w:tc>
      </w:tr>
    </w:tbl>
    <w:p>
      <w:pPr>
        <w:pStyle w:val="Heading1"/>
      </w:pPr>
      <w:r>
        <w:t>4. The combined GCL surface</w:t>
      </w:r>
    </w:p>
    <w:p>
      <w:r>
        <w:t>The combined surface is where multiple coding regimes can be compared through the same operations: encode, express, mutate, recombine, repair, gate, project, and receipt. The surface does not make their claims equally true. It makes their structure inspectable.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33"/>
        <w:gridCol w:w="2033"/>
        <w:gridCol w:w="2033"/>
        <w:gridCol w:w="2033"/>
        <w:gridCol w:w="2033"/>
      </w:tblGrid>
      <w:tr>
        <w:trPr>
          <w:tblHeader w:val="true"/>
        </w:trPr>
        <w:tc>
          <w:tcPr>
            <w:tcW w:type="dxa" w:w="2033"/>
            <w:shd w:fill="D9EAF7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/>
                <w:sz w:val="16"/>
              </w:rPr>
              <w:t>Variant</w:t>
            </w:r>
          </w:p>
        </w:tc>
        <w:tc>
          <w:tcPr>
            <w:tcW w:type="dxa" w:w="2033"/>
            <w:shd w:fill="D9EAF7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/>
                <w:sz w:val="16"/>
              </w:rPr>
              <w:t>Unit</w:t>
            </w:r>
          </w:p>
        </w:tc>
        <w:tc>
          <w:tcPr>
            <w:tcW w:type="dxa" w:w="2033"/>
            <w:shd w:fill="D9EAF7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/>
                <w:sz w:val="16"/>
              </w:rPr>
              <w:t>Expression</w:t>
            </w:r>
          </w:p>
        </w:tc>
        <w:tc>
          <w:tcPr>
            <w:tcW w:type="dxa" w:w="2033"/>
            <w:shd w:fill="D9EAF7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/>
                <w:sz w:val="16"/>
              </w:rPr>
              <w:t>GCL assignment</w:t>
            </w:r>
          </w:p>
        </w:tc>
        <w:tc>
          <w:tcPr>
            <w:tcW w:type="dxa" w:w="2033"/>
            <w:shd w:fill="D9EAF7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/>
                <w:sz w:val="16"/>
              </w:rPr>
              <w:t>Gate</w:t>
            </w:r>
          </w:p>
        </w:tc>
      </w:tr>
      <w:tr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/>
                <w:sz w:val="16"/>
              </w:rPr>
              <w:t>Biological DNA/RNA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Nucleotide/codon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Protein/regulatory expression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Bio-GCL, external-source analogue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External evidence; no internal truth promotion</w:t>
            </w:r>
          </w:p>
        </w:tc>
      </w:tr>
      <w:tr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/>
                <w:sz w:val="16"/>
              </w:rPr>
              <w:t>Synthetic genetic coding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Engineered codon/expanded alphabet unit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Engineered expression or programmable behavior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Bio-GCL synthetic profile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Biosafety/source receipts</w:t>
            </w:r>
          </w:p>
        </w:tc>
      </w:tr>
      <w:tr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/>
                <w:sz w:val="16"/>
              </w:rPr>
              <w:t>Hachimoji / expanded-base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8-symbol synthetic base alphabet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Expanded biological-like encoding capacity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Bio-GCL expanded alphabet profile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Source audit; no overclaim</w:t>
            </w:r>
          </w:p>
        </w:tc>
      </w:tr>
      <w:tr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/>
                <w:sz w:val="16"/>
              </w:rPr>
              <w:t>Stack-native GCL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GCLCodon / expansion slot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Typed concept object, claim, or projection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Host grammar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GCL validator</w:t>
            </w:r>
          </w:p>
        </w:tc>
      </w:tr>
      <w:tr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/>
                <w:sz w:val="16"/>
              </w:rPr>
              <w:t>MN-GCL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Mass-profile codon / symbolic marker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Mass Number, Semantic Mass, NaNMass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Mass-Number subset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Finite-first closure gate</w:t>
            </w:r>
          </w:p>
        </w:tc>
      </w:tr>
      <w:tr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/>
                <w:sz w:val="16"/>
              </w:rPr>
              <w:t>Signal-GCL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Probe/sample/residual unit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WaveProbe or residual trace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Signal subset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Measurement receipt gate</w:t>
            </w:r>
          </w:p>
        </w:tc>
      </w:tr>
      <w:tr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/>
                <w:sz w:val="16"/>
              </w:rPr>
              <w:t>Geo-GCL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Coordinate, simplex, graph cell, Goxel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Surface/manifold/CAD/topology projection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Geometry subset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Surface anchor + reverse collapse</w:t>
            </w:r>
          </w:p>
        </w:tc>
      </w:tr>
      <w:tr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/>
                <w:sz w:val="16"/>
              </w:rPr>
              <w:t>Sidon-GCL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Pair path / sum address / history hash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Lawful alias or collision packet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Collision-law subset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No incompatible same-address history</w:t>
            </w:r>
          </w:p>
        </w:tc>
      </w:tr>
      <w:tr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/>
                <w:sz w:val="16"/>
              </w:rPr>
              <w:t>Algorithmic-GCL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Function/class/import/AST node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Executable behavior or refactor candidate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Code observation profile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Behavior-preserving tests</w:t>
            </w:r>
          </w:p>
        </w:tc>
      </w:tr>
      <w:tr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/>
                <w:sz w:val="16"/>
              </w:rPr>
              <w:t>Lean-GCL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Definition/theorem/invariant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Lean module or theorem target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Formal target subset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Build receipt and no hidden gaps</w:t>
            </w:r>
          </w:p>
        </w:tc>
      </w:tr>
      <w:tr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/>
                <w:sz w:val="16"/>
              </w:rPr>
              <w:t>Surface-GCL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Buffer/kernel/shader/projection node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WasmGPU/Three.js/GraphML/Mermaid render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Projection subset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Projection-not-proof gate</w:t>
            </w:r>
          </w:p>
        </w:tc>
      </w:tr>
      <w:tr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/>
                <w:sz w:val="16"/>
              </w:rPr>
              <w:t>Underverse-GCL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Invalid residue / blocked path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Quarantine, snip, or repair candidate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Failure-coding profile</w:t>
            </w:r>
          </w:p>
        </w:tc>
        <w:tc>
          <w:tcPr>
            <w:tcW w:type="dxa" w:w="203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Warden quarantine gate</w:t>
            </w:r>
          </w:p>
        </w:tc>
      </w:tr>
    </w:tbl>
    <w:p>
      <w:pPr>
        <w:pStyle w:val="Heading1"/>
      </w:pPr>
      <w:r>
        <w:t>5. The conceptual binding lifecycle</w:t>
      </w:r>
    </w:p>
    <w:p>
      <w:r>
        <w:t>A binding starts as an intuition, but it only becomes operational when it declares a unit, expression, mutation rule, repair path, gate, projection surface, and receipt target.</w:t>
      </w:r>
    </w:p>
    <w:p>
      <w:pPr>
        <w:pStyle w:val="CodeBlock"/>
      </w:pPr>
      <w:r>
        <w:t>RAW_INTUITION</w:t>
        <w:br/>
        <w:t xml:space="preserve">  -&gt; NAME_AND_ALIAS_CAPTURE</w:t>
        <w:br/>
        <w:t xml:space="preserve">  -&gt; GCL_OBJECT_ENCODING</w:t>
        <w:br/>
        <w:t xml:space="preserve">  -&gt; GENOTYPE_SLOT_FILL</w:t>
        <w:br/>
        <w:t xml:space="preserve">  -&gt; PHENOTYPE_EXPRESSION</w:t>
        <w:br/>
        <w:t xml:space="preserve">  -&gt; MASS_NUMBER_OR_SURFACE_BINDING</w:t>
        <w:br/>
        <w:t xml:space="preserve">  -&gt; ADMISSIBILITY_CHECK</w:t>
        <w:br/>
        <w:t xml:space="preserve">  -&gt; PROJECTION</w:t>
        <w:br/>
        <w:t xml:space="preserve">  -&gt; RECEIPT | HOLD | REPAIR | QUARANTINE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83"/>
        <w:gridCol w:w="5083"/>
      </w:tblGrid>
      <w:tr>
        <w:trPr>
          <w:tblHeader w:val="true"/>
        </w:trPr>
        <w:tc>
          <w:tcPr>
            <w:tcW w:type="dxa" w:w="5083"/>
            <w:shd w:fill="D9EAF7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/>
                <w:sz w:val="16"/>
              </w:rPr>
              <w:t>Step</w:t>
            </w:r>
          </w:p>
        </w:tc>
        <w:tc>
          <w:tcPr>
            <w:tcW w:type="dxa" w:w="5083"/>
            <w:shd w:fill="D9EAF7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/>
                <w:sz w:val="16"/>
              </w:rPr>
              <w:t>Meaning</w:t>
            </w:r>
          </w:p>
        </w:tc>
      </w:tr>
      <w:tr>
        <w:tc>
          <w:tcPr>
            <w:tcW w:type="dxa" w:w="508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/>
                <w:sz w:val="16"/>
              </w:rPr>
              <w:t>Name it</w:t>
            </w:r>
          </w:p>
        </w:tc>
        <w:tc>
          <w:tcPr>
            <w:tcW w:type="dxa" w:w="508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Choose one preferred name and list aliases to prevent symbol drift.</w:t>
            </w:r>
          </w:p>
        </w:tc>
      </w:tr>
      <w:tr>
        <w:tc>
          <w:tcPr>
            <w:tcW w:type="dxa" w:w="508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/>
                <w:sz w:val="16"/>
              </w:rPr>
              <w:t>Type it</w:t>
            </w:r>
          </w:p>
        </w:tc>
        <w:tc>
          <w:tcPr>
            <w:tcW w:type="dxa" w:w="508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Declare whether it is a concept, symbol, equation, claim, operator, metric, gate, protocol, simulator, dataset, projection, theorem target, danger boundary, mutation, repair path, or regime.</w:t>
            </w:r>
          </w:p>
        </w:tc>
      </w:tr>
      <w:tr>
        <w:tc>
          <w:tcPr>
            <w:tcW w:type="dxa" w:w="508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/>
                <w:sz w:val="16"/>
              </w:rPr>
              <w:t>Encode it</w:t>
            </w:r>
          </w:p>
        </w:tc>
        <w:tc>
          <w:tcPr>
            <w:tcW w:type="dxa" w:w="508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Fill genotype/codon slots or expansion slots; avoid vague vibes unless marked HOLD or U_scope.</w:t>
            </w:r>
          </w:p>
        </w:tc>
      </w:tr>
      <w:tr>
        <w:tc>
          <w:tcPr>
            <w:tcW w:type="dxa" w:w="508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/>
                <w:sz w:val="16"/>
              </w:rPr>
              <w:t>Express it</w:t>
            </w:r>
          </w:p>
        </w:tc>
        <w:tc>
          <w:tcPr>
            <w:tcW w:type="dxa" w:w="508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Declare what phenotype it produces and where it may project.</w:t>
            </w:r>
          </w:p>
        </w:tc>
      </w:tr>
      <w:tr>
        <w:tc>
          <w:tcPr>
            <w:tcW w:type="dxa" w:w="508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/>
                <w:sz w:val="16"/>
              </w:rPr>
              <w:t>Gate it</w:t>
            </w:r>
          </w:p>
        </w:tc>
        <w:tc>
          <w:tcPr>
            <w:tcW w:type="dxa" w:w="508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State which gates block promotion and what evidence can move it forward.</w:t>
            </w:r>
          </w:p>
        </w:tc>
      </w:tr>
      <w:tr>
        <w:tc>
          <w:tcPr>
            <w:tcW w:type="dxa" w:w="508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/>
                <w:sz w:val="16"/>
              </w:rPr>
              <w:t>Repair it</w:t>
            </w:r>
          </w:p>
        </w:tc>
        <w:tc>
          <w:tcPr>
            <w:tcW w:type="dxa" w:w="508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Declare how invalid, NaN-like, or quarantined objects can recover.</w:t>
            </w:r>
          </w:p>
        </w:tc>
      </w:tr>
      <w:tr>
        <w:tc>
          <w:tcPr>
            <w:tcW w:type="dxa" w:w="508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/>
                <w:sz w:val="16"/>
              </w:rPr>
              <w:t>Receipt it</w:t>
            </w:r>
          </w:p>
        </w:tc>
        <w:tc>
          <w:tcPr>
            <w:tcW w:type="dxa" w:w="508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Attach Lean, benchmark, measurement, dataset, simulation, source audit, or safety receipts.</w:t>
            </w:r>
          </w:p>
        </w:tc>
      </w:tr>
    </w:tbl>
    <w:p>
      <w:pPr>
        <w:pStyle w:val="Heading1"/>
      </w:pPr>
      <w:r>
        <w:t>6. Compression interpretation: Delta-Phi-Gamma-Lambda</w:t>
      </w:r>
    </w:p>
    <w:p>
      <w:r>
        <w:t>The compression doctrine gives the binding system its audit question. It prevents the stack from asking only whether a representation became smaller or cleaner, and forces the stack to ask what structure survived.</w:t>
      </w:r>
    </w:p>
    <w:p>
      <w:pPr>
        <w:pStyle w:val="CodeBlock"/>
      </w:pPr>
      <w:r>
        <w:t>Delta  = residual / distortion / loss / mismatch</w:t>
        <w:br/>
        <w:t>Phi    = lawful structure / coherence / invariant phase</w:t>
        <w:br/>
        <w:t>Gamma  = compression pressure / gain / forcing</w:t>
        <w:br/>
        <w:t>Lambda = scale / code-length / resolution band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rPr>
          <w:tblHeader w:val="true"/>
        </w:trPr>
        <w:tc>
          <w:tcPr>
            <w:tcW w:type="dxa" w:w="10166"/>
            <w:shd w:fill="D9EAD3"/>
            <w:vAlign w:val="top"/>
          </w:tcPr>
          <w:p>
            <w:pPr>
              <w:spacing w:after="0"/>
            </w:pPr>
            <w:r>
              <w:rPr>
                <w:rFonts w:ascii="Aptos" w:hAnsi="Aptos"/>
                <w:b/>
                <w:sz w:val="16"/>
              </w:rPr>
              <w:t>Compression doctrine</w:t>
            </w:r>
          </w:p>
          <w:p>
            <w:pPr>
              <w:spacing w:after="0"/>
            </w:pPr>
            <w:r>
              <w:rPr>
                <w:rFonts w:ascii="Aptos" w:hAnsi="Aptos"/>
                <w:sz w:val="16"/>
              </w:rPr>
              <w:t>Compression is collapse with accountability. A compression is lawful when the residual change in invariant structure remains bounded across scale under compression pressure, and every collapsed representation supports reverse recovery or a Warden receipt.</w:t>
            </w:r>
          </w:p>
        </w:tc>
      </w:tr>
    </w:tbl>
    <w:p/>
    <w:p>
      <w:pPr>
        <w:pStyle w:val="Heading1"/>
      </w:pPr>
      <w:r>
        <w:t>7. Controlled degeneracy and Sidon safety</w:t>
      </w:r>
    </w:p>
    <w:p>
      <w:r>
        <w:t>The most important bridge between biological coding and mathematical collision control is controlled degeneracy. Biology does not require perfect uniqueness; several codons may express the same amino acid. The stack-native upgrade is to permit lawful aliases while blocking incompatible history collapse.</w:t>
      </w:r>
    </w:p>
    <w:p>
      <w:pPr>
        <w:pStyle w:val="CodeBlock"/>
      </w:pPr>
      <w:r>
        <w:t>Allowed alias:</w:t>
        <w:br/>
        <w:t xml:space="preserve">  different encodings</w:t>
        <w:br/>
        <w:t xml:space="preserve">    -&gt; same invariant phi</w:t>
        <w:br/>
        <w:t xml:space="preserve">    -&gt; same authority boundary</w:t>
        <w:br/>
        <w:t xml:space="preserve">    -&gt; reverse-collapse or repair path exists</w:t>
        <w:br/>
        <w:t xml:space="preserve">    -&gt; receipt records the alias rule</w:t>
        <w:br/>
        <w:br/>
        <w:t>Blocked alias:</w:t>
        <w:br/>
        <w:t xml:space="preserve">  different encodings</w:t>
        <w:br/>
        <w:t xml:space="preserve">    -&gt; same address</w:t>
        <w:br/>
        <w:t xml:space="preserve">    -&gt; incompatible history</w:t>
        <w:br/>
        <w:t xml:space="preserve">    -&gt; no reverse-collapse</w:t>
        <w:br/>
        <w:t xml:space="preserve">    -&gt; no alias policy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rPr>
          <w:tblHeader w:val="true"/>
        </w:trPr>
        <w:tc>
          <w:tcPr>
            <w:tcW w:type="dxa" w:w="10166"/>
            <w:shd w:fill="FCE4D6"/>
            <w:vAlign w:val="top"/>
          </w:tcPr>
          <w:p>
            <w:pPr>
              <w:spacing w:after="0"/>
            </w:pPr>
            <w:r>
              <w:rPr>
                <w:rFonts w:ascii="Aptos" w:hAnsi="Aptos"/>
                <w:b/>
                <w:sz w:val="16"/>
              </w:rPr>
              <w:t>Sidon-GCL rule</w:t>
            </w:r>
          </w:p>
          <w:p>
            <w:pPr>
              <w:spacing w:after="0"/>
            </w:pPr>
            <w:r>
              <w:rPr>
                <w:rFonts w:ascii="Aptos" w:hAnsi="Aptos"/>
                <w:sz w:val="16"/>
              </w:rPr>
              <w:t>No incompatible histories may collapse into the same committed address.</w:t>
            </w:r>
          </w:p>
        </w:tc>
      </w:tr>
    </w:tbl>
    <w:p/>
    <w:p>
      <w:pPr>
        <w:pStyle w:val="Heading1"/>
      </w:pPr>
      <w:r>
        <w:t>8. Surface projection is an audit, not decoration</w:t>
      </w:r>
    </w:p>
    <w:p>
      <w:r>
        <w:t>Surfaces are useful because they make bindings inspectable: ridges, holes, basins, seams, scars, thresholds, and ruptures can reveal how an abstraction behaves. But a surface remains a phenotype. It cannot promote itself into proof.</w:t>
      </w:r>
    </w:p>
    <w:p>
      <w:pPr>
        <w:pStyle w:val="CodeBlock"/>
      </w:pPr>
      <w:r>
        <w:t>GCL object</w:t>
        <w:br/>
        <w:t xml:space="preserve">  -&gt; Mass Number packet</w:t>
        <w:br/>
        <w:t xml:space="preserve">  -&gt; surface projection</w:t>
        <w:br/>
        <w:t xml:space="preserve">  -&gt; probe / measurement / receipt</w:t>
        <w:br/>
        <w:t xml:space="preserve">  -&gt; Warden status</w:t>
      </w:r>
    </w:p>
    <w:p>
      <w:pPr>
        <w:pStyle w:val="ListBullet"/>
      </w:pPr>
      <w:r>
        <w:rPr>
          <w:b/>
        </w:rPr>
        <w:t>Projection != proof.</w:t>
      </w:r>
    </w:p>
    <w:p>
      <w:pPr>
        <w:pStyle w:val="ListBullet"/>
      </w:pPr>
      <w:r>
        <w:rPr>
          <w:b/>
        </w:rPr>
        <w:t>Phenotype != genotype.</w:t>
      </w:r>
    </w:p>
    <w:p>
      <w:pPr>
        <w:pStyle w:val="ListBullet"/>
      </w:pPr>
      <w:r>
        <w:rPr>
          <w:b/>
        </w:rPr>
        <w:t>Visual centrality != truth.</w:t>
      </w:r>
    </w:p>
    <w:p>
      <w:pPr>
        <w:pStyle w:val="ListBullet"/>
      </w:pPr>
      <w:r>
        <w:rPr>
          <w:b/>
        </w:rPr>
        <w:t>Simulation convergence != theorem.</w:t>
      </w:r>
    </w:p>
    <w:p>
      <w:pPr>
        <w:pStyle w:val="ListBullet"/>
      </w:pPr>
      <w:r>
        <w:rPr>
          <w:b/>
        </w:rPr>
        <w:t>LLM agreement != validation.</w:t>
      </w:r>
    </w:p>
    <w:p>
      <w:pPr>
        <w:pStyle w:val="ListBullet"/>
      </w:pPr>
      <w:r>
        <w:rPr>
          <w:b/>
        </w:rPr>
        <w:t>No surface, no promotion for recursive abstraction fields.</w:t>
      </w:r>
    </w:p>
    <w:p>
      <w:pPr>
        <w:pStyle w:val="Heading1"/>
      </w:pPr>
      <w:r>
        <w:t>9. Reverse collapse and recursion safety</w:t>
      </w:r>
    </w:p>
    <w:p>
      <w:r>
        <w:t>A Mass Number or GCL object can compress a concept so aggressively that the abstraction starts explaining itself. That is useful only if it can unfold back to a concrete anchor.</w:t>
      </w:r>
    </w:p>
    <w:p>
      <w:pPr>
        <w:pStyle w:val="CodeBlock"/>
      </w:pPr>
      <w:r>
        <w:t>Forward path:</w:t>
        <w:br/>
        <w:t xml:space="preserve">  raw object</w:t>
        <w:br/>
        <w:t xml:space="preserve">    -&gt; Mass Number</w:t>
        <w:br/>
        <w:t xml:space="preserve">    -&gt; Surface</w:t>
        <w:br/>
        <w:t xml:space="preserve">    -&gt; higher abstraction</w:t>
        <w:br/>
        <w:br/>
        <w:t>Reverse-collapse path:</w:t>
        <w:br/>
        <w:t xml:space="preserve">  higher abstraction</w:t>
        <w:br/>
        <w:t xml:space="preserve">    -&gt; Surface feature</w:t>
        <w:br/>
        <w:t xml:space="preserve">    -&gt; Mass Number field</w:t>
        <w:br/>
        <w:t xml:space="preserve">    -&gt; concrete object / example / invariant / test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rPr>
          <w:tblHeader w:val="true"/>
        </w:trPr>
        <w:tc>
          <w:tcPr>
            <w:tcW w:type="dxa" w:w="10166"/>
            <w:shd w:fill="FCE4D6"/>
            <w:vAlign w:val="top"/>
          </w:tcPr>
          <w:p>
            <w:pPr>
              <w:spacing w:after="0"/>
            </w:pPr>
            <w:r>
              <w:rPr>
                <w:rFonts w:ascii="Aptos" w:hAnsi="Aptos"/>
                <w:b/>
                <w:sz w:val="16"/>
              </w:rPr>
              <w:t>Recursion warning</w:t>
            </w:r>
          </w:p>
          <w:p>
            <w:pPr>
              <w:spacing w:after="0"/>
            </w:pPr>
            <w:r>
              <w:rPr>
                <w:rFonts w:ascii="Aptos" w:hAnsi="Aptos"/>
                <w:sz w:val="16"/>
              </w:rPr>
              <w:t>Forward abstraction without reverse collapse is unsafe. Recursive GCL or Mass Number references require a depth bound, type boundary, receipt hash, reverse-collapse target, Underverse failure packet, and Warden stop condition.</w:t>
            </w:r>
          </w:p>
        </w:tc>
      </w:tr>
    </w:tbl>
    <w:p/>
    <w:p>
      <w:pPr>
        <w:pStyle w:val="Heading1"/>
      </w:pPr>
      <w:r>
        <w:t>10. Authority states and promotion</w:t>
      </w:r>
    </w:p>
    <w:p>
      <w:r>
        <w:t>GCL separates existence from authority. A GCL object exists so it can be inherited, mutated, traced, repaired, projected, or quarantined. It does not become true merely because it exists.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83"/>
        <w:gridCol w:w="5083"/>
      </w:tblGrid>
      <w:tr>
        <w:trPr>
          <w:tblHeader w:val="true"/>
        </w:trPr>
        <w:tc>
          <w:tcPr>
            <w:tcW w:type="dxa" w:w="5083"/>
            <w:shd w:fill="D9EAF7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/>
                <w:sz w:val="16"/>
              </w:rPr>
              <w:t>State</w:t>
            </w:r>
          </w:p>
        </w:tc>
        <w:tc>
          <w:tcPr>
            <w:tcW w:type="dxa" w:w="5083"/>
            <w:shd w:fill="D9EAF7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/>
                <w:sz w:val="16"/>
              </w:rPr>
              <w:t>Meaning</w:t>
            </w:r>
          </w:p>
        </w:tc>
      </w:tr>
      <w:tr>
        <w:tc>
          <w:tcPr>
            <w:tcW w:type="dxa" w:w="508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/>
                <w:sz w:val="16"/>
              </w:rPr>
              <w:t>U_scope</w:t>
            </w:r>
          </w:p>
        </w:tc>
        <w:tc>
          <w:tcPr>
            <w:tcW w:type="dxa" w:w="508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Unscoped or exploratory. Interesting but not tight enough yet.</w:t>
            </w:r>
          </w:p>
        </w:tc>
      </w:tr>
      <w:tr>
        <w:tc>
          <w:tcPr>
            <w:tcW w:type="dxa" w:w="508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/>
                <w:sz w:val="16"/>
              </w:rPr>
              <w:t>HOLD</w:t>
            </w:r>
          </w:p>
        </w:tc>
        <w:tc>
          <w:tcPr>
            <w:tcW w:type="dxa" w:w="508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Important but unresolved. Preserve it, but do not promote it.</w:t>
            </w:r>
          </w:p>
        </w:tc>
      </w:tr>
      <w:tr>
        <w:tc>
          <w:tcPr>
            <w:tcW w:type="dxa" w:w="508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/>
                <w:sz w:val="16"/>
              </w:rPr>
              <w:t>V_scope</w:t>
            </w:r>
          </w:p>
        </w:tc>
        <w:tc>
          <w:tcPr>
            <w:tcW w:type="dxa" w:w="508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Locally valid under an explicitly declared scope.</w:t>
            </w:r>
          </w:p>
        </w:tc>
      </w:tr>
      <w:tr>
        <w:tc>
          <w:tcPr>
            <w:tcW w:type="dxa" w:w="508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/>
                <w:sz w:val="16"/>
              </w:rPr>
              <w:t>REVIEWED</w:t>
            </w:r>
          </w:p>
        </w:tc>
        <w:tc>
          <w:tcPr>
            <w:tcW w:type="dxa" w:w="508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Review or audit receipts exist.</w:t>
            </w:r>
          </w:p>
        </w:tc>
      </w:tr>
      <w:tr>
        <w:tc>
          <w:tcPr>
            <w:tcW w:type="dxa" w:w="508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/>
                <w:sz w:val="16"/>
              </w:rPr>
              <w:t>CANONICAL_LEAN</w:t>
            </w:r>
          </w:p>
        </w:tc>
        <w:tc>
          <w:tcPr>
            <w:tcW w:type="dxa" w:w="508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Formal theorem/spec receipt exists and builds.</w:t>
            </w:r>
          </w:p>
        </w:tc>
      </w:tr>
      <w:tr>
        <w:tc>
          <w:tcPr>
            <w:tcW w:type="dxa" w:w="508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/>
                <w:sz w:val="16"/>
              </w:rPr>
              <w:t>QUARANTINE</w:t>
            </w:r>
          </w:p>
        </w:tc>
        <w:tc>
          <w:tcPr>
            <w:tcW w:type="dxa" w:w="5083"/>
            <w:vAlign w:val="top"/>
          </w:tcPr>
          <w:p>
            <w:pPr>
              <w:spacing w:after="0"/>
            </w:pPr>
            <w:r>
              <w:rPr>
                <w:sz w:val="16"/>
              </w:rPr>
            </w:r>
            <w:r>
              <w:rPr>
                <w:b w:val="0"/>
                <w:sz w:val="16"/>
              </w:rPr>
              <w:t>Unsafe, overbroad, misleading, or category-error prone.</w:t>
            </w:r>
          </w:p>
        </w:tc>
      </w:tr>
    </w:tbl>
    <w:p>
      <w:pPr>
        <w:pStyle w:val="Heading1"/>
      </w:pPr>
      <w:r>
        <w:t>11. Minimal implementation target</w:t>
      </w:r>
    </w:p>
    <w:p>
      <w:r>
        <w:t>The first executable implementation should stay small. It should validate the shared surface without pretending to encode every regime at once.</w:t>
      </w:r>
    </w:p>
    <w:p>
      <w:pPr>
        <w:pStyle w:val="CodeBlock"/>
      </w:pPr>
      <w:r>
        <w:t>Phase 1:</w:t>
        <w:br/>
        <w:t xml:space="preserve">  Stack-native GCL object validator</w:t>
        <w:br/>
        <w:br/>
        <w:t>Phase 2:</w:t>
        <w:br/>
        <w:t xml:space="preserve">  Sidon-GCL lawful-alias validator</w:t>
        <w:br/>
        <w:br/>
        <w:t>Phase 3:</w:t>
        <w:br/>
        <w:t xml:space="preserve">  Algorithmic-GCL AST observation packet validator</w:t>
        <w:br/>
        <w:br/>
        <w:t>Phase 4:</w:t>
        <w:br/>
        <w:t xml:space="preserve">  Bio-GCL as external-source / analogy-bounded objects</w:t>
      </w:r>
    </w:p>
    <w:p>
      <w:pPr>
        <w:pStyle w:val="Heading1"/>
      </w:pPr>
      <w:r>
        <w:t>12. Warden rules for the combined surface</w:t>
      </w:r>
    </w:p>
    <w:p>
      <w:pPr>
        <w:pStyle w:val="ListBullet"/>
      </w:pPr>
      <w:r>
        <w:t>If a biological analogy is written as biological evidence without external receipts, emit bio_overclaim and block promotion.</w:t>
      </w:r>
    </w:p>
    <w:p>
      <w:pPr>
        <w:pStyle w:val="ListBullet"/>
      </w:pPr>
      <w:r>
        <w:t>If two encoded histories share a committed address without an alias policy, emit unlawful_coding_alias and block promotion.</w:t>
      </w:r>
    </w:p>
    <w:p>
      <w:pPr>
        <w:pStyle w:val="ListBullet"/>
      </w:pPr>
      <w:r>
        <w:t>If a projection is used as proof, emit projection_proof_confusion and block promotion.</w:t>
      </w:r>
    </w:p>
    <w:p>
      <w:pPr>
        <w:pStyle w:val="ListBullet"/>
      </w:pPr>
      <w:r>
        <w:t>If an algorithmic collapse lacks behavior-preserving tests, mark HOLD and require TestReceipt.</w:t>
      </w:r>
    </w:p>
    <w:p>
      <w:pPr>
        <w:pStyle w:val="ListBullet"/>
      </w:pPr>
      <w:r>
        <w:t>If recursive abstraction lacks a reverse-collapse target, emit recursive_abstraction_without_ground and block promotion.</w:t>
      </w:r>
    </w:p>
    <w:p>
      <w:pPr>
        <w:pStyle w:val="ListBullet"/>
      </w:pPr>
      <w:r>
        <w:t>If canonical computation uses floats in a fixed-point hot path, emit fixed_point_violation and block promotion.</w:t>
      </w:r>
    </w:p>
    <w:p>
      <w:pPr>
        <w:pStyle w:val="Heading1"/>
      </w:pPr>
      <w:r>
        <w:t>13. Working object template</w:t>
      </w:r>
    </w:p>
    <w:p>
      <w:pPr>
        <w:pStyle w:val="CodeBlock"/>
      </w:pPr>
      <w:r>
        <w:t>CombinedGCLCodingObject = {</w:t>
        <w:br/>
        <w:t xml:space="preserve">  gcl_id,</w:t>
        <w:br/>
        <w:t xml:space="preserve">  preferred_name,</w:t>
        <w:br/>
        <w:t xml:space="preserve">  aliases,</w:t>
        <w:br/>
        <w:t xml:space="preserve">  coding_variant,</w:t>
        <w:br/>
        <w:t xml:space="preserve">  kind,</w:t>
        <w:br/>
        <w:t xml:space="preserve">  claim_state,</w:t>
        <w:br/>
        <w:t xml:space="preserve">  authority_scope,</w:t>
        <w:br/>
        <w:t xml:space="preserve">  definition,</w:t>
        <w:br/>
        <w:t xml:space="preserve">  genotype,</w:t>
        <w:br/>
        <w:t xml:space="preserve">  expression,</w:t>
        <w:br/>
        <w:t xml:space="preserve">  expansion_slots,</w:t>
        <w:br/>
        <w:t xml:space="preserve">  gates,</w:t>
        <w:br/>
        <w:t xml:space="preserve">  receipts,</w:t>
        <w:br/>
        <w:t xml:space="preserve">  projections,</w:t>
        <w:br/>
        <w:t xml:space="preserve">  mutation_history,</w:t>
        <w:br/>
        <w:t xml:space="preserve">  repair_paths,</w:t>
        <w:br/>
        <w:t xml:space="preserve">  blocked_usages</w:t>
        <w:br/>
        <w:t>}</w:t>
      </w:r>
    </w:p>
    <w:p>
      <w:pPr>
        <w:pStyle w:val="Heading1"/>
      </w:pPr>
      <w:r>
        <w:t>14. Source document anchors</w:t>
      </w:r>
    </w:p>
    <w:p>
      <w:r>
        <w:t>This export consolidates the current GCL approach from the following Research Stack documents and working doctrines:</w:t>
      </w:r>
    </w:p>
    <w:p>
      <w:pPr>
        <w:pStyle w:val="ListBullet"/>
      </w:pPr>
      <w:r>
        <w:t>docs/gcl/GCLCompleteSurface.md</w:t>
      </w:r>
    </w:p>
    <w:p>
      <w:pPr>
        <w:pStyle w:val="ListBullet"/>
      </w:pPr>
      <w:r>
        <w:t>docs/gcl/GCLCombinedCodingSurface.md</w:t>
      </w:r>
    </w:p>
    <w:p>
      <w:pPr>
        <w:pStyle w:val="ListBullet"/>
      </w:pPr>
      <w:r>
        <w:t>docs/gcl/MassNumberGCLSubset.md</w:t>
      </w:r>
    </w:p>
    <w:p>
      <w:pPr>
        <w:pStyle w:val="ListBullet"/>
      </w:pPr>
      <w:r>
        <w:t>docs/gcl/CompressionDeltaPhiGammaLambdaDoctrine.md</w:t>
      </w:r>
    </w:p>
    <w:p>
      <w:pPr>
        <w:pStyle w:val="ListBullet"/>
      </w:pPr>
      <w:r>
        <w:t>docs/gcl/MassNumberSurfaceTranslation.md</w:t>
      </w:r>
    </w:p>
    <w:p>
      <w:pPr>
        <w:pStyle w:val="ListBullet"/>
      </w:pPr>
      <w:r>
        <w:t>docs/gcl/MassNumberRecursionWarning.md</w:t>
      </w:r>
    </w:p>
    <w:p>
      <w:pPr>
        <w:pStyle w:val="ListBullet"/>
      </w:pPr>
      <w:r>
        <w:t>docs/gcl/SidonPhysicsNativeDeconstruction.md</w:t>
      </w:r>
    </w:p>
    <w:p>
      <w:pPr>
        <w:pStyle w:val="ListBullet"/>
      </w:pPr>
      <w:r>
        <w:t>docs/gcl/SidonSolvedDomainTestProtocol.md</w:t>
      </w:r>
    </w:p>
    <w:p>
      <w:pPr>
        <w:pStyle w:val="ListBullet"/>
      </w:pPr>
      <w:r>
        <w:t>docs/gcl/EquationForestActiveKernels.md</w:t>
      </w:r>
    </w:p>
    <w:p>
      <w:pPr>
        <w:pStyle w:val="ListBullet"/>
      </w:pPr>
      <w:r>
        <w:t>docs/wiki/NotationNomenclatureRegistry.md</w:t>
      </w:r>
    </w:p>
    <w:p>
      <w:pPr>
        <w:pStyle w:val="Heading1"/>
      </w:pPr>
      <w:r>
        <w:t>15. Compact doctrine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rPr>
          <w:tblHeader w:val="true"/>
        </w:trPr>
        <w:tc>
          <w:tcPr>
            <w:tcW w:type="dxa" w:w="10166"/>
            <w:shd w:fill="D9EAD3"/>
            <w:vAlign w:val="top"/>
          </w:tcPr>
          <w:p>
            <w:pPr>
              <w:spacing w:after="0"/>
            </w:pPr>
            <w:r>
              <w:rPr>
                <w:rFonts w:ascii="Aptos" w:hAnsi="Aptos"/>
                <w:b/>
                <w:sz w:val="16"/>
              </w:rPr>
              <w:t>Compact doctrine</w:t>
            </w:r>
          </w:p>
          <w:p>
            <w:pPr>
              <w:spacing w:after="0"/>
            </w:pPr>
            <w:r>
              <w:rPr>
                <w:rFonts w:ascii="Aptos" w:hAnsi="Aptos"/>
                <w:sz w:val="16"/>
              </w:rPr>
              <w:t>Every code becomes GCL only after it declares its unit, expression, mutation, repair, gate, projection, and receipt. GCL allows many coding regimes to share a surface, but Warden prevents them from sharing authority unless their evidence, closure, and reverse-collapse paths match.</w:t>
            </w:r>
          </w:p>
        </w:tc>
      </w:tr>
    </w:tbl>
    <w:p/>
    <w:sectPr w:rsidR="00FC693F" w:rsidRPr="0006063C" w:rsidSect="00034616">
      <w:footerReference w:type="default" r:id="rId9"/>
      <w:pgSz w:w="12240" w:h="15840"/>
      <w:pgMar w:top="936" w:right="1037" w:bottom="936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6"/>
      </w:rPr>
      <w:t>Research Stack - GCL Conceptual Binding Surface - HOLD / workbench synthesis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52" w:lineRule="auto"/>
    </w:pPr>
    <w:rPr>
      <w:rFonts w:ascii="Aptos" w:hAnsi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Aptos" w:hAnsi="Aptos"/>
      <w:b/>
      <w:bCs/>
      <w:color w:val="1F4E79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ptos" w:hAnsi="Aptos"/>
      <w:b/>
      <w:bCs/>
      <w:color w:val="2F559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3B3B3B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F4E79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Block"/>
    <w:pPr>
      <w:spacing w:before="60" w:after="120"/>
      <w:ind w:left="288"/>
    </w:pPr>
    <w:rPr>
      <w:rFonts w:ascii="Consolas" w:hAnsi="Consolas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GCL Surface and Conceptual Binding Approach</dc:title>
  <dc:subject>Research Stack workbench export</dc:subject>
  <dc:creator>OpenAI</dc:creator>
  <cp:keywords>GCL, conceptual binding, Mass Number, Sidon, Delta-Phi-Gamma-Lambda, Warden, Underverse</cp:keywords>
  <dc:description>Generated as a HOLD/workbench synthesis document.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